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Arial Unicode MS" w:hAnsi="Arial Unicode MS" w:eastAsia="Arial Unicode MS" w:cs="Arial Unicode MS"/>
          <w:color w:val="000000"/>
          <w:kern w:val="0"/>
          <w:sz w:val="36"/>
          <w:szCs w:val="36"/>
          <w:lang w:val="en-US" w:eastAsia="zh-CN" w:bidi="ar"/>
        </w:rPr>
        <w:t>2022 年度江西科技师范大学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Arial Unicode MS" w:hAnsi="Arial Unicode MS" w:eastAsia="Arial Unicode MS" w:cs="Arial Unicode MS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Arial Unicode MS" w:hAnsi="Arial Unicode MS" w:eastAsia="Arial Unicode MS" w:cs="Arial Unicode MS"/>
          <w:color w:val="000000"/>
          <w:kern w:val="0"/>
          <w:sz w:val="36"/>
          <w:szCs w:val="36"/>
          <w:lang w:val="en-US" w:eastAsia="zh-CN" w:bidi="ar"/>
        </w:rPr>
        <w:t>江西省非物质文化遗产研究基地开放基金（重点）项目指南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Arial Unicode MS" w:hAnsi="Arial Unicode MS" w:eastAsia="Arial Unicode MS" w:cs="Arial Unicode MS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1. 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江西省非物质文化遗产的数字化保护与传播研究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江西省非物质文化遗产与自媒体传播路径研究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3.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江西省非物质文化遗产与消费经济研究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4.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非物质文化遗产生产性保护与创新性发展研究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5.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非物质文化遗产保护和利用的经典案例研究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6.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非物质文化遗产资源开发与学校美育融合研究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7.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高等学校非物质文化遗产本科专业建设研究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8.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非物质文化遗产研究与职业教育发展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9.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非物质文化遗产数字化保护与文创产品设计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非物质文化遗产传承人管理研究</w:t>
      </w:r>
    </w:p>
    <w:p/>
    <w:sectPr>
      <w:pgSz w:w="11906" w:h="16838"/>
      <w:pgMar w:top="1440" w:right="8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53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2022-06-16T02:05:35Z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